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424" w:rsidRPr="00457424" w:rsidRDefault="00457424" w:rsidP="00457424">
      <w:pPr>
        <w:spacing w:line="360" w:lineRule="auto"/>
        <w:jc w:val="center"/>
        <w:rPr>
          <w:rFonts w:eastAsia="Times New Roman"/>
          <w:b/>
          <w:bCs/>
          <w:color w:val="FF0000"/>
          <w:sz w:val="28"/>
          <w:szCs w:val="28"/>
        </w:rPr>
      </w:pPr>
      <w:r w:rsidRPr="00457424">
        <w:rPr>
          <w:rFonts w:eastAsia="Times New Roman"/>
          <w:b/>
          <w:bCs/>
          <w:color w:val="FF0000"/>
          <w:sz w:val="28"/>
          <w:szCs w:val="28"/>
        </w:rPr>
        <w:t>Обзор периодики за неделю 11-15.03.2019 г.</w:t>
      </w:r>
    </w:p>
    <w:p w:rsidR="00457424" w:rsidRPr="00457424" w:rsidRDefault="00457424" w:rsidP="00457424">
      <w:pPr>
        <w:spacing w:line="360" w:lineRule="auto"/>
        <w:jc w:val="both"/>
        <w:rPr>
          <w:rFonts w:eastAsia="Times New Roman"/>
          <w:b/>
          <w:color w:val="0070C0"/>
          <w:sz w:val="28"/>
          <w:szCs w:val="28"/>
        </w:rPr>
      </w:pPr>
      <w:r w:rsidRPr="00457424">
        <w:rPr>
          <w:rFonts w:eastAsia="Times New Roman"/>
          <w:b/>
          <w:bCs/>
          <w:color w:val="0070C0"/>
          <w:sz w:val="28"/>
          <w:szCs w:val="28"/>
        </w:rPr>
        <w:t>Колосов, А.Д.</w:t>
      </w:r>
      <w:r w:rsidRPr="00457424">
        <w:rPr>
          <w:rFonts w:eastAsia="Times New Roman"/>
          <w:b/>
          <w:color w:val="0070C0"/>
          <w:sz w:val="28"/>
          <w:szCs w:val="28"/>
        </w:rPr>
        <w:t>   Разработка и моделирование конструкции машины для разделения наноразмерных материало</w:t>
      </w:r>
      <w:bookmarkStart w:id="0" w:name="_GoBack"/>
      <w:bookmarkEnd w:id="0"/>
      <w:r w:rsidRPr="00457424">
        <w:rPr>
          <w:rFonts w:eastAsia="Times New Roman"/>
          <w:b/>
          <w:color w:val="0070C0"/>
          <w:sz w:val="28"/>
          <w:szCs w:val="28"/>
        </w:rPr>
        <w:t>в [Текст] / А.Д. Колосов    // Современные технологии. Системный анализ. Моделирование. - 2018. - №4 (60). - С.8-15.</w:t>
      </w:r>
    </w:p>
    <w:p w:rsidR="00457424" w:rsidRPr="00457424" w:rsidRDefault="00457424" w:rsidP="00457424">
      <w:pPr>
        <w:spacing w:line="360" w:lineRule="auto"/>
        <w:ind w:left="2832" w:firstLine="708"/>
        <w:jc w:val="both"/>
        <w:rPr>
          <w:rFonts w:eastAsia="Times New Roman"/>
          <w:sz w:val="28"/>
          <w:szCs w:val="28"/>
        </w:rPr>
      </w:pPr>
      <w:r w:rsidRPr="00457424">
        <w:rPr>
          <w:noProof/>
          <w:sz w:val="28"/>
          <w:szCs w:val="28"/>
        </w:rPr>
        <w:drawing>
          <wp:anchor distT="0" distB="0" distL="114300" distR="114300" simplePos="0" relativeHeight="251659264" behindDoc="1" locked="0" layoutInCell="1" allowOverlap="1" wp14:anchorId="5D3123E0" wp14:editId="413A4222">
            <wp:simplePos x="0" y="0"/>
            <wp:positionH relativeFrom="margin">
              <wp:align>left</wp:align>
            </wp:positionH>
            <wp:positionV relativeFrom="paragraph">
              <wp:posOffset>2540</wp:posOffset>
            </wp:positionV>
            <wp:extent cx="1631950" cy="2365375"/>
            <wp:effectExtent l="0" t="0" r="635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31950" cy="2365375"/>
                    </a:xfrm>
                    <a:prstGeom prst="rect">
                      <a:avLst/>
                    </a:prstGeom>
                    <a:noFill/>
                  </pic:spPr>
                </pic:pic>
              </a:graphicData>
            </a:graphic>
            <wp14:sizeRelH relativeFrom="margin">
              <wp14:pctWidth>0</wp14:pctWidth>
            </wp14:sizeRelH>
            <wp14:sizeRelV relativeFrom="margin">
              <wp14:pctHeight>0</wp14:pctHeight>
            </wp14:sizeRelV>
          </wp:anchor>
        </w:drawing>
      </w:r>
      <w:r w:rsidRPr="00457424">
        <w:rPr>
          <w:rFonts w:eastAsia="Times New Roman"/>
          <w:sz w:val="28"/>
          <w:szCs w:val="28"/>
        </w:rPr>
        <w:t xml:space="preserve">В работе приведен краткий обзор существующих способов флотационного разделения, а также обзор наиболее распространенных на сегодняшний день конструкций флотомашин. Приведены особенности используемых конструкций и выделены основные преимущества и недостатки. Показаны проблемы, возникающие при флотации мелкодисперсного сырья на классических конструкциях флотомашин. </w:t>
      </w:r>
    </w:p>
    <w:p w:rsidR="00457424" w:rsidRPr="00457424" w:rsidRDefault="00457424" w:rsidP="00457424">
      <w:pPr>
        <w:spacing w:line="360" w:lineRule="auto"/>
        <w:jc w:val="both"/>
        <w:rPr>
          <w:rFonts w:eastAsia="Times New Roman"/>
          <w:sz w:val="28"/>
          <w:szCs w:val="28"/>
        </w:rPr>
      </w:pPr>
      <w:r w:rsidRPr="00457424">
        <w:rPr>
          <w:rFonts w:eastAsia="Times New Roman"/>
          <w:sz w:val="28"/>
          <w:szCs w:val="28"/>
        </w:rPr>
        <w:t xml:space="preserve">Рассмотрены наиболее распространенные на сегодняшний день конструкции флотационных машин – колонная и импеллерная. Изучены характерные особенности данных конструкций и сформулирован ряд требований к новой конструкции флотомашины, лишенной недостатков, обнаруженных в классических флотомашинах. На основании выделенных особенностей сформулированы требования, которым должна соответствовать флотомашина новой конструкции. Предложен ряд технических решений, позволяющих новой флотомашине соответствовать указанным требованиям. Рассмотрены технологические тонкости построения некоторых элементов чертежей, использующихся при плазменном раскрое некоторых сборочных деталей. Разработана новая конструкция флотомашины, соответствующая современным требованиям по простоте и надежности конструкции, низкой стоимости изготовления и высокой эффективности флотационного разделения. Особый акцент сделан на максимальном извлечении ценного продукта даже при очень высокой дисперсности обрабатываемого материала. Построена трехмерная модель, благодаря которой оптимизировано построение сложных геометрических элементов, а также рассчитана металлоемкость конструкции. Флотомашина новой конструкции по разработанным чертежам построена и требует проведения лабораторных испытаний. При помощи данной </w:t>
      </w:r>
      <w:r w:rsidRPr="00457424">
        <w:rPr>
          <w:rFonts w:eastAsia="Times New Roman"/>
          <w:sz w:val="28"/>
          <w:szCs w:val="28"/>
        </w:rPr>
        <w:lastRenderedPageBreak/>
        <w:t>модели сгенерированы наиболее сложные для классического построения чертежи элементов конструкции. По разработанным чертежам изготовлена лабораторная флотомашина объемом 250 литров, выполненная из коррозионностойкой стали марки 08Х18Н10.</w:t>
      </w:r>
    </w:p>
    <w:p w:rsidR="00457424" w:rsidRPr="00457424" w:rsidRDefault="00457424" w:rsidP="00457424">
      <w:pPr>
        <w:spacing w:line="360" w:lineRule="auto"/>
        <w:jc w:val="both"/>
        <w:rPr>
          <w:rFonts w:eastAsia="Times New Roman"/>
          <w:b/>
          <w:bCs/>
          <w:color w:val="0070C0"/>
          <w:sz w:val="28"/>
          <w:szCs w:val="28"/>
        </w:rPr>
      </w:pPr>
      <w:r w:rsidRPr="00457424">
        <w:rPr>
          <w:rFonts w:eastAsia="Times New Roman"/>
          <w:b/>
          <w:bCs/>
          <w:color w:val="0070C0"/>
          <w:sz w:val="28"/>
          <w:szCs w:val="28"/>
        </w:rPr>
        <w:t>Лобыцин, И. О.   Управление микрошероховатостью в технологии восстановления изоляционных пальцев коллекторных тяговых электродвигателей [Текст] / И. О. Лобыцин, А. М. Худоногов, И. А. Худоногов    // Современные технологии. Системный анализ. Моделирование. - 2018 . - № 4 (60). - С. 15–23.</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В статье затронута одна из наиболее актуальных проблем в области электромашиностроения, которая связана с надежностью изоляции тяговых электродвигателей железнодорожного подвижного состава. Проведен глубокий анализ взаимосвязи электрической и магнитной систем электрических машин постоянного тока с выявлением наиболее уязвимого к поверхностному перекрытию изоляционного элемента – изоляционного пальца кронштейна щеткодержателя траверсы. Рассмотрена микроструктура подверженного перекрытию изоляционного пальца и проведена последующая оценка основных причин возникновения данного дефекта при эксплуатации.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Разработана и представлена наиболее эффективная технология восстановления изоляции пальцев кронштейнов щеткодержателей с применением теплового некогерентного излучения. Показана специально разработанная исследовательская установка по восстановлению пальцев ИК-излучением, на которой был выбран наиболее оптимальный режим сушки изоляционного лака. Проведен сравнительный анализ между традиционной сушкой при деповских условиях и предлагаемой терморадиационной сушкой на лабораторной установке по параметру шероховатости изоляционной лаковой поверхности пальца. Описано влияние неровностей боковой поверхности пальца на показатель напряжения перекрытия изоляции.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По результатам сравнительных экспериментов для каждого вида сушки получены показатели шероховатости полимерной поверхности объекта, определенные органолептическим методом и при помощи профилометра TR200. </w:t>
      </w:r>
      <w:r w:rsidRPr="00457424">
        <w:rPr>
          <w:rFonts w:eastAsia="Times New Roman"/>
          <w:bCs/>
          <w:sz w:val="28"/>
          <w:szCs w:val="28"/>
        </w:rPr>
        <w:lastRenderedPageBreak/>
        <w:t>Результаты исследования представлены в таблицах и отображены графически, с целью последующей формулировки выводов. В конце представлены дальнейшие мероприятия по увеличению поверхностной прочности изоляционных конструкций путем управления наношероховатостью в технологии их восстановления с использованием когерентного инфракрасного излучения.</w:t>
      </w:r>
    </w:p>
    <w:p w:rsidR="00457424" w:rsidRPr="00457424" w:rsidRDefault="00457424" w:rsidP="00457424">
      <w:pPr>
        <w:spacing w:line="360" w:lineRule="auto"/>
        <w:jc w:val="both"/>
        <w:rPr>
          <w:rFonts w:eastAsia="Times New Roman"/>
          <w:b/>
          <w:bCs/>
          <w:color w:val="0070C0"/>
          <w:sz w:val="28"/>
          <w:szCs w:val="28"/>
        </w:rPr>
      </w:pPr>
      <w:r w:rsidRPr="00457424">
        <w:rPr>
          <w:rFonts w:eastAsia="Times New Roman"/>
          <w:b/>
          <w:bCs/>
          <w:color w:val="0070C0"/>
          <w:sz w:val="28"/>
          <w:szCs w:val="28"/>
        </w:rPr>
        <w:t>Небогин, С. А.   Теория и методы создания машин для синтеза машиностроительных материалов [Текст] / С. А. Небогин, В. О. Горовой, В. А. Ершов    // Современные технологии. Системный анализ. Моделирование. - 2018 . - № 4 (60). - С. 24–31.</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Данная статья посвящена способам переработки пыли, уносимой от рудотермических печей кремниевого производства. Проведен химический и гранулометрический анализ пыли уноса кремниевого производства. Рассмотрена возможность применения гравитационно-центробежной сепарации для получения целевых продуктов, таких как шарообразный диоксид кремния и наноструктурированный углерод. Сепарация пыли рукавных фильтров кремниевого производства на углеродную и микрокремнеземистую составляющую происходила на разработанном стенде, состоящем из пяти последовательно установленных гравитационно-центробежных пылеуловителей (циклонов). Частицы микрокремнезема, имея большую истинную плотность по сравнению с углеродными частицами, в большей степени подвергались влиянию центробежных сил во время прохождения циклона. Пылегазовый поток создавался при помощи компрессора и пыледозирующего устройства, включающего шнековый питатель и щелевой затвор. Запыленность пылегазового потока 33 г/нм3 при производительности по сырью 1 кг/ч. В качестве сырья использовалась пыль печей, отобранная рукавными фильтрами из трубопровода, уносящего пылегазовый поток от печей кремния. Моделирование процесса гравитационно-центробежной сепарации показало возможность полного разделения частиц диоксида кремния и углерода. В результате серии испытаний удалось достичь повышения концентрации микрокремнезема с 93 % до 98 % с выходом продукта до 35 % по массе. Удалось добиться увеличения концентрации углеродной фракции с 6 % до 24 % с выходом продукта 10 %. Малая эффективность </w:t>
      </w:r>
      <w:r w:rsidRPr="00457424">
        <w:rPr>
          <w:rFonts w:eastAsia="Times New Roman"/>
          <w:bCs/>
          <w:sz w:val="28"/>
          <w:szCs w:val="28"/>
        </w:rPr>
        <w:lastRenderedPageBreak/>
        <w:t>использования данного метода сепарирования возникает из-за механически связанных частиц диоксида кремния и углерода, разделение которых, вероятнее всего, возможно только химическими способами. Математические расчеты и результаты математического моделирования свидетельствуют о возможности увеличения выхода готового продукта в случае изменения геометрических размеров пылеулавливающих устройств и режимов работы тягодутьевого оборудования стенда.</w:t>
      </w:r>
    </w:p>
    <w:p w:rsidR="00457424" w:rsidRPr="00457424" w:rsidRDefault="00457424" w:rsidP="00457424">
      <w:pPr>
        <w:spacing w:line="360" w:lineRule="auto"/>
        <w:jc w:val="both"/>
        <w:rPr>
          <w:rFonts w:eastAsia="Times New Roman"/>
          <w:b/>
          <w:bCs/>
          <w:color w:val="0070C0"/>
          <w:sz w:val="28"/>
          <w:szCs w:val="28"/>
        </w:rPr>
      </w:pPr>
      <w:r w:rsidRPr="00457424">
        <w:rPr>
          <w:rFonts w:eastAsia="Times New Roman"/>
          <w:b/>
          <w:bCs/>
          <w:color w:val="0070C0"/>
          <w:sz w:val="28"/>
          <w:szCs w:val="28"/>
        </w:rPr>
        <w:t>Шастин, В. И.   Модифицирование поверхностей конструкционных материалов: оборудование и методика исследования трибологических параметров [Текст] / В. И. Шастин, С. К. Каргапольцев, А. Г. Пермяков    // Современные технологии. Системный анализ. Моделирование. - 2018 . - № 4 (60). - С. 31–38.</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Статья посвящена актуальным вопросам исследования трибологических показателей модифицированного поверхностного слоя деталей машин по большинству видов контактирования фрикционных элементов, применяемых в машиностроении. Представлены варианты лабораторного триботехнического оборудования для оценки влияния различных видов поверхностного модифицирования на механизм изнашивания. Приводятся конструктивные особенности, основные технические характеристики оборудования и методические рекомендации исследовательского характера для разнообразных видов изнашивания, таких как контактное трение скольжения, пара трения «кольцо – гильза цилиндра» и сопряжение «вал – подшипник скольжения». Конструкция оборудования предусматривает возможность проведения испытаний при различных уровнях нагрузки в зоне контакта и условиях смазки. Рассматриваются также варианты и возможность проведения ускоренных испытаний, в том числе при использовании фрагментов деталей реальных изделий машиностроения. Для расширения функциональных возможностей оборудования и методик исследования, а также получения достоверных данных при их обработке принят сравнительный метод анализа с учетом привнесенных отличий в результате модифицирования. Предложены и апробированы наиболее приемлемые методы и средства контроля основных трибологических показателей. На основе системного анализа полученных </w:t>
      </w:r>
      <w:r w:rsidRPr="00457424">
        <w:rPr>
          <w:rFonts w:eastAsia="Times New Roman"/>
          <w:bCs/>
          <w:sz w:val="28"/>
          <w:szCs w:val="28"/>
        </w:rPr>
        <w:lastRenderedPageBreak/>
        <w:t>экспериментальных данных становится возможным наглядно и объективно интерпретировать взаимовлияние исследуемых технологических параметров модифицирования и основных характеристик изнашивания. Исследования влияния лазерных методов модифицирования на основные показатели износостойкости позволили получить широкий спектр объективных экспериментальных данных, подтвержденных впоследствии при эксплуатации реальных изделий. Благодаря принятой методологии исследования и использованию предлагаемого оборудования наряду с полученными практически значимыми результатами исследования установлено, что наибольшая износоустойчивость наблюдается в узлах трения при взаимном лазерном модифицировании сопрягаемых поверхностей.</w:t>
      </w:r>
    </w:p>
    <w:p w:rsidR="00457424" w:rsidRPr="00457424" w:rsidRDefault="00457424" w:rsidP="00457424">
      <w:pPr>
        <w:spacing w:line="360" w:lineRule="auto"/>
        <w:jc w:val="both"/>
        <w:rPr>
          <w:rFonts w:eastAsia="Times New Roman"/>
          <w:b/>
          <w:bCs/>
          <w:color w:val="0070C0"/>
          <w:sz w:val="28"/>
          <w:szCs w:val="28"/>
        </w:rPr>
      </w:pPr>
      <w:r w:rsidRPr="00457424">
        <w:rPr>
          <w:rFonts w:eastAsia="Times New Roman"/>
          <w:b/>
          <w:bCs/>
          <w:color w:val="0070C0"/>
          <w:sz w:val="28"/>
          <w:szCs w:val="28"/>
        </w:rPr>
        <w:t>Милов, А. В.   Влияние флюса на точность измерений в процессе индукционной пайки алюминиевых волноводных трактов [Текст] / А. В. Милов, В. С. Тынченко, А. В. Мурыгин    // Современные технологии. Системный анализ. Моделирование. - 2018 . - № 4 (60). - С. 38–46.</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Технологический процесс индукционной пайки тонкостенных алюминиевых волноводных трактов предполагает использование бесконтактных датчиков измерения температуры. Обусловлено это тем, что использование контактных методов соединения требует проведения дополнительных технологических операций по зачистке и выравниванию поверхностей соединяемых деталей. Однако данные, получаемые с использованием бесконтактных измерительных датчиков, могут иметь существенные погрешности, вызванные как физическими особенностями данного способа измерения, так и самим процессом индукционной пайки. Перед разработкой методов коррекции погрешностей измерения необходимо провести экспериментальное исследование по определению степени влияния флюса на показания средств измерения параметров технологического процесса индукционной пайки. В рамках представляемого исследования проведено изучение текущего состояния исследованности темы в виде литературного обзора. Приведено описание лабораторной установки, на которой проводились эксперименты по оценке влияния флюса на процесс индукционной пайки тонкостенных алюминиевых волноводных трактов. Также в статье представлено описание методики и проведения серий </w:t>
      </w:r>
      <w:r w:rsidRPr="00457424">
        <w:rPr>
          <w:rFonts w:eastAsia="Times New Roman"/>
          <w:bCs/>
          <w:sz w:val="28"/>
          <w:szCs w:val="28"/>
        </w:rPr>
        <w:lastRenderedPageBreak/>
        <w:t>экспериментов по оценке влияния флюса на процесс индукционной пайки волноводных трактов. В статье представлены результаты экспериментальной проверки гипотезы о влиянии флюса на процесс индукционной пайки алюминиевых волноводных трактов. Приведены результаты серии экспериментов, представлены выкладки по статистической обработке экспериментальных данных. В рамках данной работы были проведены 4 серии экспериментов по 10 экспериментов в каждой серии. Результаты экспериментов достаточно хорошо согласуются между собой, а также указывают на статистическую значимость гипотезы о влиянии флюса на процесс индукционной пайки тонкостенных алюминиевых волноводных трактов. На основе результатов статистической обработки экспериментальных данных предложены методы коррекции ненормативных погрешностей средств измерительной техники. Также предложены дальнейшие направления развития исследований в данной тематике.</w:t>
      </w:r>
    </w:p>
    <w:p w:rsidR="00457424" w:rsidRPr="00457424" w:rsidRDefault="00457424" w:rsidP="00457424">
      <w:pPr>
        <w:spacing w:line="360" w:lineRule="auto"/>
        <w:jc w:val="both"/>
        <w:rPr>
          <w:rFonts w:eastAsia="Times New Roman"/>
          <w:b/>
          <w:bCs/>
          <w:color w:val="0070C0"/>
          <w:sz w:val="28"/>
          <w:szCs w:val="28"/>
        </w:rPr>
      </w:pPr>
      <w:r w:rsidRPr="00457424">
        <w:rPr>
          <w:rFonts w:eastAsia="Times New Roman"/>
          <w:b/>
          <w:bCs/>
          <w:color w:val="0070C0"/>
          <w:sz w:val="28"/>
          <w:szCs w:val="28"/>
        </w:rPr>
        <w:t xml:space="preserve">Банщиков, А. В.   Анализ электрических цепей средствами компьютерной алгебры в машиноведении [Текст] / А. В. Банщиков, А. А. Ветров, В. Д. Иртегов, Т. Н. Титоренко    // Современные технологии. Системный анализ. Моделирование. - 2018 . - № 4 (60). - С. 46–54.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Электрические цепи уже давно имеют разнообразные приложения в транспорте и других областях инженерных знаний. Создана оригинальная модель и на ее основе в интегрированной среде Embarcadero Delphi на языке Object Pascal разработан визуальный редактор графа электрической цепи. Особенность подхода заключается в том, что базовая информация о графе расширена данными о параметрах и функциях схемы цепи для автоматического формирования ее символьного описания. Посредством графического пользовательского интерфейса для конкретной нелинейной электрической цепи сформированы граф и соответствующее ему описание в виде вложенного списка для дальнейшего исследования созданными ранее программными комплексами по моделированию и качественному анализу электрических цепей в символьном виде на РС. Для исследуемой цепи проведен динамический анализ, а именно, построена символьная модель (смешанный потенциал и дифференциальные уравнения состояния), найдены некоторые </w:t>
      </w:r>
      <w:r w:rsidRPr="00457424">
        <w:rPr>
          <w:rFonts w:eastAsia="Times New Roman"/>
          <w:bCs/>
          <w:sz w:val="28"/>
          <w:szCs w:val="28"/>
        </w:rPr>
        <w:lastRenderedPageBreak/>
        <w:t>положения равновесия (не зависящие от времени решения уравнений состояния) и рассмотрен вопрос об их устойчивости по Ляпунову посредством выписанных уравнений возмущенного движения в первом приближении. Условия асимптотической устойчивости в виде системы неравенств Льенара – Шипара выражены через коэффициенты характеристического полинома шестой степени. При параметрическом анализе условий устойчивости использовались средства языка программирования и функции символьно-численного моделирования системы компьютерной алгебры Mathematica. Представлена графическая интерпретация результатов исследования устойчивости положений равновесия.</w:t>
      </w:r>
    </w:p>
    <w:p w:rsidR="00457424" w:rsidRPr="00457424" w:rsidRDefault="00457424" w:rsidP="00457424">
      <w:pPr>
        <w:spacing w:line="360" w:lineRule="auto"/>
        <w:jc w:val="both"/>
        <w:rPr>
          <w:rFonts w:eastAsia="Times New Roman"/>
          <w:b/>
          <w:bCs/>
          <w:color w:val="0070C0"/>
          <w:sz w:val="28"/>
          <w:szCs w:val="28"/>
        </w:rPr>
      </w:pPr>
      <w:r w:rsidRPr="00457424">
        <w:rPr>
          <w:rFonts w:eastAsia="Times New Roman"/>
          <w:b/>
          <w:bCs/>
          <w:color w:val="0070C0"/>
          <w:sz w:val="28"/>
          <w:szCs w:val="28"/>
        </w:rPr>
        <w:t xml:space="preserve">Даваасурэн, Б.   Обоснование необходимости строительства второй железнодорожной линии между Монголией и Китаем [Текст] / Баясгалан Даваасурэн    // Современные технологии. Системный анализ. Моделирование. - 2018 . - № 4 (60). - С. 56–63. </w:t>
      </w:r>
    </w:p>
    <w:p w:rsidR="00457424" w:rsidRPr="00457424" w:rsidRDefault="00457424" w:rsidP="00457424">
      <w:pPr>
        <w:spacing w:line="360" w:lineRule="auto"/>
        <w:jc w:val="both"/>
        <w:rPr>
          <w:rFonts w:eastAsia="Times New Roman"/>
          <w:bCs/>
          <w:sz w:val="28"/>
          <w:szCs w:val="28"/>
        </w:rPr>
      </w:pPr>
      <w:r w:rsidRPr="00457424">
        <w:rPr>
          <w:rFonts w:eastAsia="Times New Roman"/>
          <w:b/>
          <w:bCs/>
          <w:color w:val="0070C0"/>
          <w:sz w:val="28"/>
          <w:szCs w:val="28"/>
        </w:rPr>
        <w:tab/>
      </w:r>
      <w:r w:rsidRPr="00457424">
        <w:rPr>
          <w:rFonts w:eastAsia="Times New Roman"/>
          <w:bCs/>
          <w:sz w:val="28"/>
          <w:szCs w:val="28"/>
        </w:rPr>
        <w:t xml:space="preserve">Крупнейшей линией в Монголии является Монгольская магистраль Сухэ-Батор – Улан-Батор – Дзамын-Удэ. Ее протяженность – 1110 км. Основная железнодорожная сеть в стране построена по стандарту 1520 мм и управляется АО «Улан-Баторская железная дорога». Благодаря строительству этой магистрали железнодорожный путь из Европы в Центральную Азию сократился на 1025 км. Транспортный коридор, проходящий через Монголию, является самым коротким, как по протяженности, так и по времени доставки груза. УБЖД сейчас имеет три пограничных железнодорожных перехода. С Российской Федерацией два пограничных перехода: Соловьевск – Эрэнцав и Наушки – Сухэ-Батор. С Китаем один пограничный переход Дзамын-Ууд – Эрлянь. Линии Зуунбаян – Ханги (из центральной части страны до границы с Китаем на юге, проектная протяженность составляет порядка 281 км) и Хуут – Чойбалсан (дорога до границы с Китаем на западе страны, планируемая протяженность – 192 км) по сути являются отдельными инфраструктурными проектами для экспорта железной руды и коксующегося угля. Строительство железной дороги Зуунбаян – Ханги снизит существующую нагрузку на пограничных пунктах Дзамын-Ууд и Эрлянь и сократит протяженность маршрута перевозки железной руды из Монголии на металлургический комбинат в китайском </w:t>
      </w:r>
      <w:r w:rsidRPr="00457424">
        <w:rPr>
          <w:rFonts w:eastAsia="Times New Roman"/>
          <w:bCs/>
          <w:sz w:val="28"/>
          <w:szCs w:val="28"/>
        </w:rPr>
        <w:lastRenderedPageBreak/>
        <w:t>Баотоу примерно на 400 км. Возникает необходимость введения в эксплуатацию новых железнодорожных линий, а также увеличения пропускной способности имеющихся линий для транспортировки растущих объемов грузов. И строительство железнодорожной линии Зуунбаян – Ханги является одним из ключевых пунктов программы развития железнодорожной инфраструктуры Монголии.</w:t>
      </w:r>
    </w:p>
    <w:p w:rsidR="00457424" w:rsidRPr="00457424" w:rsidRDefault="00457424" w:rsidP="00457424">
      <w:pPr>
        <w:spacing w:line="360" w:lineRule="auto"/>
        <w:jc w:val="both"/>
        <w:rPr>
          <w:rFonts w:eastAsia="Times New Roman"/>
          <w:b/>
          <w:bCs/>
          <w:color w:val="0070C0"/>
          <w:sz w:val="28"/>
          <w:szCs w:val="28"/>
        </w:rPr>
      </w:pPr>
      <w:r w:rsidRPr="00457424">
        <w:rPr>
          <w:rFonts w:eastAsia="Times New Roman"/>
          <w:b/>
          <w:bCs/>
          <w:color w:val="0070C0"/>
          <w:sz w:val="28"/>
          <w:szCs w:val="28"/>
        </w:rPr>
        <w:t>Асламова, В. С.   Системный анализ причин возникновения пожаров на локомотивах ОАО «РЖД» [Текст] / В. С. Асламова, Е. Ю. Фролова    // Современные технологии. Системный анализ. Моделирование. - 2018 . - № 4 (60). - С. 63–70.</w:t>
      </w:r>
    </w:p>
    <w:p w:rsidR="00457424" w:rsidRPr="00457424" w:rsidRDefault="00457424" w:rsidP="00457424">
      <w:pPr>
        <w:spacing w:line="360" w:lineRule="auto"/>
        <w:jc w:val="both"/>
        <w:rPr>
          <w:rFonts w:eastAsia="Times New Roman"/>
          <w:bCs/>
          <w:sz w:val="28"/>
          <w:szCs w:val="28"/>
        </w:rPr>
      </w:pPr>
      <w:r w:rsidRPr="00457424">
        <w:rPr>
          <w:rFonts w:eastAsia="Times New Roman"/>
          <w:b/>
          <w:bCs/>
          <w:color w:val="0070C0"/>
          <w:sz w:val="28"/>
          <w:szCs w:val="28"/>
        </w:rPr>
        <w:tab/>
      </w:r>
      <w:r w:rsidRPr="00457424">
        <w:rPr>
          <w:rFonts w:eastAsia="Times New Roman"/>
          <w:bCs/>
          <w:sz w:val="28"/>
          <w:szCs w:val="28"/>
        </w:rPr>
        <w:t xml:space="preserve">В статье обоснована актуальность работы, рассмотрено состояние пожарной безопасности на локомотивах по статистическим данным за период времени 2008–2017 гг. и 7 мес. 2018 г. Установлено, что пожары на тепловозах происходят чаще (в 59,6 % случаев), чем на электровозах. Определены серии тепловозов и электровозов, наиболее часто подверженных пожарам. С помощью диаграмм Парето выделены узлы локомотивов, которые инициировали возникновение пожара. Выполнен системный анализ причин и факторов пожаров на локомотивах. Выявлено, что значимыми узлами для тепловоза являются: дизельный двигатель (доля пожаров 37 %), электрические цепи управления (22 %) и силовые электрические цепи (15 %), а существенными – тяговый электродвигатель (5 %) и главный генератор (4 %). Значимыми узлами для электровоза являются: силовые электрические цепи (40 %), тяговый электродвигатель (18 %), электрические цепи управления (10 %), сглаживающие и переходные реакторы (5 %) и другие причины (6 %), а существенными – посторонний источник зажигания (4 %), вспомогательные машины (3 %) и коммутационная аппаратура (2 %).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К другим относятся следующие причины пожара: попадание постороннего предмета на электропечь обогрева кабины машиниста; вмешательство локомотивной бригады в штатную работу электросхемы путем подклинивания контакторов с целью исключения из работы аппаратов защиты; отсутствие контроля за оставленным в кабине бытовым обогревателем; установка нетипового соединения регулировочной тяги с разделяющей металлической перегородкой; падение нетиповой детали </w:t>
      </w:r>
      <w:r w:rsidRPr="00457424">
        <w:rPr>
          <w:rFonts w:eastAsia="Times New Roman"/>
          <w:bCs/>
          <w:sz w:val="28"/>
          <w:szCs w:val="28"/>
        </w:rPr>
        <w:lastRenderedPageBreak/>
        <w:t xml:space="preserve">крепления в виде металлического кольца в нижнюю часть улитки вентилятора с касанием колеса и образованием искрения; попадание искр на деревянный настил колонки ручного тормоза от взаимодействия тормозных колодок и бандажа 1-й колесной пары из-за неотпуска тормозов; оставление металлической печи-времянки на твердом топливе без присмотра и т. п. Отмечено, что 83 % от общего числа пожаров были вызваны неисправностями 42 % оборудования.  </w:t>
      </w:r>
    </w:p>
    <w:p w:rsidR="00457424" w:rsidRPr="00457424" w:rsidRDefault="00457424" w:rsidP="00457424">
      <w:pPr>
        <w:spacing w:line="360" w:lineRule="auto"/>
        <w:ind w:firstLine="708"/>
        <w:jc w:val="both"/>
        <w:rPr>
          <w:rFonts w:eastAsia="Times New Roman"/>
          <w:bCs/>
          <w:color w:val="0070C0"/>
          <w:sz w:val="28"/>
          <w:szCs w:val="28"/>
        </w:rPr>
      </w:pPr>
      <w:r w:rsidRPr="00457424">
        <w:rPr>
          <w:rFonts w:eastAsia="Times New Roman"/>
          <w:bCs/>
          <w:sz w:val="28"/>
          <w:szCs w:val="28"/>
        </w:rPr>
        <w:t>Для обработки статистики пожаров использовался пакет прикладных программ Statgraphics Plus. Получены регрессионные модели с коэффициентами детерминации 95–97 % для прогнозирования численности пожаров, оснащенности сгоревших локомотивов системами пожарной сигнализации и пожаротушения (СПС и СПП), числа неиспользованных установок пожаротушения при пожаре среди оснащенных СПС и СПП локомотивов</w:t>
      </w:r>
    </w:p>
    <w:p w:rsidR="00457424" w:rsidRPr="00457424" w:rsidRDefault="00457424" w:rsidP="00457424">
      <w:pPr>
        <w:spacing w:line="360" w:lineRule="auto"/>
        <w:jc w:val="both"/>
        <w:rPr>
          <w:rFonts w:eastAsia="Times New Roman"/>
          <w:b/>
          <w:bCs/>
          <w:color w:val="0070C0"/>
          <w:sz w:val="28"/>
          <w:szCs w:val="28"/>
        </w:rPr>
      </w:pPr>
      <w:r w:rsidRPr="00457424">
        <w:rPr>
          <w:rFonts w:eastAsia="Times New Roman"/>
          <w:b/>
          <w:bCs/>
          <w:color w:val="0070C0"/>
          <w:sz w:val="28"/>
          <w:szCs w:val="28"/>
        </w:rPr>
        <w:t xml:space="preserve">Аблялимов, О.С.   Анализ эффективности перевозочной работы электровозов 3ВЛ80с на участке Каттакурган – Навои Узбекской железной дороги [Текст] / О. С. Аблялимов    // Современные технологии. Системный анализ. Моделирование. - 2018 . - № 4 (60). - С. 70–79. </w:t>
      </w:r>
    </w:p>
    <w:p w:rsidR="00457424" w:rsidRPr="00457424" w:rsidRDefault="00457424" w:rsidP="00457424">
      <w:pPr>
        <w:spacing w:line="360" w:lineRule="auto"/>
        <w:jc w:val="both"/>
        <w:rPr>
          <w:rFonts w:eastAsia="Times New Roman"/>
          <w:bCs/>
          <w:sz w:val="28"/>
          <w:szCs w:val="28"/>
        </w:rPr>
      </w:pPr>
      <w:r w:rsidRPr="00457424">
        <w:rPr>
          <w:rFonts w:eastAsia="Times New Roman"/>
          <w:b/>
          <w:bCs/>
          <w:color w:val="0070C0"/>
          <w:sz w:val="28"/>
          <w:szCs w:val="28"/>
        </w:rPr>
        <w:tab/>
      </w:r>
      <w:r w:rsidRPr="00457424">
        <w:rPr>
          <w:rFonts w:eastAsia="Times New Roman"/>
          <w:bCs/>
          <w:sz w:val="28"/>
          <w:szCs w:val="28"/>
        </w:rPr>
        <w:t xml:space="preserve">Представлены результаты обоснования параметров перевозочной работы трехсекционных магистральных (поездных) грузовых электровозов 3ВЛ80С на реальном холмисто-горном участке железной дороги при движении грузовых поездов без остановок и с остановками на промежуточных станциях, разъездах и раздельных пунктах, а также оценки тяговых качеств (свойств) профиля пути перегонов этого участка. В качестве критерия упомянутой оценки предложены приведенные значения общего и удельного расходов электрической энергии на тягу поездов в количественном и денежном исчислении с учетом сопутствующих перевозочному процессу значений приведенного времени хода поезда в режиме тяги и удельного расхода электрической энергии за поездку. Результаты исследований получены при помощи методов и способов теории локомотивной тяги с учетом усредненных значений основных показателей тягово-энергетической эффективности использования исследуемых электровозов 3ВЛ80С в виде табличных данных, графических зависимостей и практических выводов. Результаты исследований </w:t>
      </w:r>
      <w:r w:rsidRPr="00457424">
        <w:rPr>
          <w:rFonts w:eastAsia="Times New Roman"/>
          <w:bCs/>
          <w:sz w:val="28"/>
          <w:szCs w:val="28"/>
        </w:rPr>
        <w:lastRenderedPageBreak/>
        <w:t>рекомендуются для практического использования машинистам – инструкторам по теплотехнике и специалистам линейных предприятий локомотивного комплекса сети узбекских железных дорог, профессиональная и производственная деятельности которых касаются вопросов энергетики движения грузовых и пассажирских поездов на реальных холмисто-горных и, идентичных им, виртуальных участках железных дорог.</w:t>
      </w:r>
    </w:p>
    <w:p w:rsidR="00457424" w:rsidRPr="00457424" w:rsidRDefault="00457424" w:rsidP="00457424">
      <w:pPr>
        <w:spacing w:line="360" w:lineRule="auto"/>
        <w:jc w:val="both"/>
        <w:rPr>
          <w:rFonts w:eastAsia="Times New Roman"/>
          <w:b/>
          <w:bCs/>
          <w:color w:val="0070C0"/>
          <w:sz w:val="28"/>
          <w:szCs w:val="28"/>
        </w:rPr>
      </w:pPr>
      <w:r w:rsidRPr="00457424">
        <w:rPr>
          <w:rFonts w:eastAsia="Times New Roman"/>
          <w:b/>
          <w:bCs/>
          <w:color w:val="0070C0"/>
          <w:sz w:val="28"/>
          <w:szCs w:val="28"/>
        </w:rPr>
        <w:t>Фуфачева, М.В. Анализ задержек подвижного состава при организации пропуска по участку длинносоставных поездов [Текст] / М.В. Фуфачева // Современные технологии. Системный анализ. Моделирование. - 2018 . - № 4 (60). - С. 79–87.</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Решается задача повышения пропускной способности двухпутных линий в условиях обращения поездов различной массы и длины. Одним из путей решения этой проблемы является удлинение станционных путей.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Отмечены основные сложности, возникающие при реконструкции станций, особенно при выборе этапности удлинения путей на станциях.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Задержки поездов на подходах к станциям являются одним из наиболее значимых критериев при выборе проекта реконструкции. Однако четкой формализации задачи по их определению до сих пор нет.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С целью определения числа и продолжительности задержек подвижного состава были установлены параметры статистики распределения прибытия грузовых поездов на станции для технических операций по интервалам и длины грузовых поездов.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На основе анализа статистического материала и разработанной модели работы железнодорожного участка исследованы задержки грузовых поездов при подходе к промежуточным и техническим станциям участка. В качестве существенных поездопотоков при моделировании рассматривались длинносоставные грузовые поезда, грузовые составы нормальной длины, длинносоставные поезда из порожних вагонов и пассажирские поезда. Выявлены зависимости величин задержек поездов и их количества от различных факторов: размера поездопотоков; доли </w:t>
      </w:r>
      <w:r w:rsidRPr="00457424">
        <w:rPr>
          <w:rFonts w:eastAsia="Times New Roman"/>
          <w:bCs/>
          <w:sz w:val="28"/>
          <w:szCs w:val="28"/>
        </w:rPr>
        <w:lastRenderedPageBreak/>
        <w:t xml:space="preserve">длинносоставных поездов на участке; расстояния между станциями обгона; соотношения скорости хода грузовых поездов к скорости пассажирских.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Предложенная методика позволяет более точно оценивать задержки поездов в зависимости от различных факторов.   </w:t>
      </w:r>
    </w:p>
    <w:p w:rsidR="00457424" w:rsidRPr="00457424" w:rsidRDefault="00457424" w:rsidP="00457424">
      <w:pPr>
        <w:spacing w:line="360" w:lineRule="auto"/>
        <w:jc w:val="both"/>
        <w:rPr>
          <w:rFonts w:eastAsia="Times New Roman"/>
          <w:b/>
          <w:bCs/>
          <w:color w:val="0070C0"/>
          <w:sz w:val="28"/>
          <w:szCs w:val="28"/>
        </w:rPr>
      </w:pPr>
      <w:r w:rsidRPr="00457424">
        <w:rPr>
          <w:rFonts w:eastAsia="Times New Roman"/>
          <w:b/>
          <w:bCs/>
          <w:color w:val="0070C0"/>
          <w:sz w:val="28"/>
          <w:szCs w:val="28"/>
        </w:rPr>
        <w:t xml:space="preserve">Дульский, Е. Ю.   Проблема надежности кожухов зубчатой передачи электровозов серии «Ермак» [Текст] / Е. Ю. Дульский, И. О. Лобыцин, Е. А. Милованова, П. Ю. Иванов    // Современные технологии. Системный анализ. Моделирование. - 2018 . - № 4 (60). - С. 87–92. </w:t>
      </w:r>
    </w:p>
    <w:p w:rsidR="00457424" w:rsidRPr="00457424" w:rsidRDefault="00457424" w:rsidP="00457424">
      <w:pPr>
        <w:spacing w:line="360" w:lineRule="auto"/>
        <w:jc w:val="both"/>
        <w:rPr>
          <w:rFonts w:eastAsia="Times New Roman"/>
          <w:bCs/>
          <w:sz w:val="28"/>
          <w:szCs w:val="28"/>
        </w:rPr>
      </w:pPr>
      <w:r w:rsidRPr="00457424">
        <w:rPr>
          <w:rFonts w:eastAsia="Times New Roman"/>
          <w:b/>
          <w:bCs/>
          <w:color w:val="0070C0"/>
          <w:sz w:val="28"/>
          <w:szCs w:val="28"/>
        </w:rPr>
        <w:tab/>
      </w:r>
      <w:r w:rsidRPr="00457424">
        <w:rPr>
          <w:rFonts w:eastAsia="Times New Roman"/>
          <w:bCs/>
          <w:sz w:val="28"/>
          <w:szCs w:val="28"/>
        </w:rPr>
        <w:t xml:space="preserve">В статье рассмотрены вопросы проблемы надежности механической части при эксплуатации электровозов серии «Ермак». Предметом исследования стал кожух зубчатой передачи в металлическом исполнении электровоза серии «Ермак», исправность которого зависит, в большей степени, от жесткости пути. Расположение кожуха зубчатой передачи на электровозе определяет его условия эксплуатации, при которых высокий уровень внешних нагрузок неизбежен. Одним из основных параметров, определяющих техническое состояние кожуха, является его целостность и недопущение образования трещин. Анализ повреждений элементов конструкции кожуха зубчатой передачи показывает, что самой распространенной их причиной является образование трещин на поверхности кожуха, которые могут привести к частичному или полному разрушению кожуха зубчатой передачи. В результате возможно повреждение самой зубчатой передачи и колесно-моторного блока в целом. В случае образования трещин на поверхности кожуха происходит его отправка на неплановый ремонт.  </w:t>
      </w:r>
    </w:p>
    <w:p w:rsidR="00457424" w:rsidRPr="00457424" w:rsidRDefault="00457424" w:rsidP="00457424">
      <w:pPr>
        <w:spacing w:line="360" w:lineRule="auto"/>
        <w:ind w:firstLine="708"/>
        <w:jc w:val="both"/>
        <w:rPr>
          <w:rFonts w:eastAsia="Times New Roman"/>
          <w:bCs/>
          <w:color w:val="0070C0"/>
          <w:sz w:val="28"/>
          <w:szCs w:val="28"/>
        </w:rPr>
      </w:pPr>
      <w:r w:rsidRPr="00457424">
        <w:rPr>
          <w:rFonts w:eastAsia="Times New Roman"/>
          <w:bCs/>
          <w:sz w:val="28"/>
          <w:szCs w:val="28"/>
        </w:rPr>
        <w:t>Для предотвращения образования трещин на кожухе зубчатой передачи предложено применение систем автоматического проектирования с целью создания и анализа методом конечных элементов твердотельной объемной модели кожуха зубчатой передачи. Предложенная система обеспечит выяснение причин образования трещин и позволит внести предложения для их предотвращения. Статья представляет интерес для специалистов в области ремонта и технического обслуживания механической части электроподвижного состава железных дорог.</w:t>
      </w:r>
    </w:p>
    <w:p w:rsidR="00457424" w:rsidRPr="00457424" w:rsidRDefault="00457424" w:rsidP="00457424">
      <w:pPr>
        <w:spacing w:line="360" w:lineRule="auto"/>
        <w:jc w:val="both"/>
        <w:rPr>
          <w:rFonts w:eastAsia="Times New Roman"/>
          <w:b/>
          <w:bCs/>
          <w:color w:val="0070C0"/>
          <w:sz w:val="28"/>
          <w:szCs w:val="28"/>
        </w:rPr>
      </w:pPr>
      <w:r w:rsidRPr="00457424">
        <w:rPr>
          <w:rFonts w:eastAsia="Times New Roman"/>
          <w:b/>
          <w:bCs/>
          <w:color w:val="0070C0"/>
          <w:sz w:val="28"/>
          <w:szCs w:val="28"/>
        </w:rPr>
        <w:lastRenderedPageBreak/>
        <w:t>Туйгунова, А. Г.   О переводе питания СЦБ с 27,5 кВ на нетяговую обмотку на тяговой подстанции переменного тока [Текст] / А. Г. Туйгунова, И. А. Худоногов, Е. Ю. Пузина    // Современные технологии. Системный анализ. Моделирование. - 2018 . - № 4 (60). - С. 93–98.</w:t>
      </w:r>
    </w:p>
    <w:p w:rsidR="00457424" w:rsidRPr="00457424" w:rsidRDefault="00457424" w:rsidP="00457424">
      <w:pPr>
        <w:spacing w:line="360" w:lineRule="auto"/>
        <w:jc w:val="both"/>
        <w:rPr>
          <w:rFonts w:eastAsia="Times New Roman"/>
          <w:bCs/>
          <w:sz w:val="28"/>
          <w:szCs w:val="28"/>
        </w:rPr>
      </w:pPr>
      <w:r w:rsidRPr="00457424">
        <w:rPr>
          <w:rFonts w:eastAsia="Times New Roman"/>
          <w:b/>
          <w:bCs/>
          <w:color w:val="0070C0"/>
          <w:sz w:val="28"/>
          <w:szCs w:val="28"/>
        </w:rPr>
        <w:tab/>
      </w:r>
      <w:r w:rsidRPr="00457424">
        <w:rPr>
          <w:rFonts w:eastAsia="Times New Roman"/>
          <w:bCs/>
          <w:sz w:val="28"/>
          <w:szCs w:val="28"/>
        </w:rPr>
        <w:t>Устройства сигнализации, централизации и блокировки (СЦБ) – совокупность технических средств, применяемых для обеспечения безопасности движения поездов и для регулирования движения на перегонах и станциях. Устройства СЦБ оказывают влияние на повышение пропускной и провозной способности перегонов и станций, улучшение использования подвижного состава, повышение безопасности движения поездов. Совершенствование устройств сигнализации, централизации и блокировки требует повышения надежности их электроснабжения. В настоящее время на большинстве участков железной дороги переменного тока электроснабжение линий, питающих устройства СЦБ, выполнено от тяговой обмотки силового масляного трансформатора тяговой подстанции, поэтому есть прямая зависимость уровня напряжения электроснабжения устройств СЦБ и контактной сети от уровня напряжения на шинах подстанции. Увеличение объемов перевозимых грузов, пропуск сдвоенных поездов вызывает постоянный рост потребляемых энергоресурсов и, соответственно, приводит к повышению требований по показателям качества электроэнергии в электрических сетях питания линий СЦБ и отдельных ее элементов. Кроме того, на межподстанционной зоне может находиться одновременно несколько поездов, что влияет на величину напряжения в контактной сети. Все это приводит к тенденции несоответствия отклонения напряжения, указанного в ПТЭ железных дорог РФ, допустимым пределам. В статье приведена схема перевода питания линии СЦБ с тяговой обмотки на нетяговую и необходимые мероприятия. Предложено выполнить питание фидеров автоблокировки смежных тяговых подстанций от двух модулей, запитанных от шин собственных нужд.</w:t>
      </w:r>
    </w:p>
    <w:p w:rsidR="00457424" w:rsidRPr="00457424" w:rsidRDefault="00457424" w:rsidP="00457424">
      <w:pPr>
        <w:spacing w:line="360" w:lineRule="auto"/>
        <w:jc w:val="both"/>
        <w:rPr>
          <w:rFonts w:eastAsia="Times New Roman"/>
          <w:b/>
          <w:bCs/>
          <w:color w:val="0070C0"/>
          <w:sz w:val="28"/>
          <w:szCs w:val="28"/>
        </w:rPr>
      </w:pPr>
    </w:p>
    <w:p w:rsidR="00457424" w:rsidRPr="00457424" w:rsidRDefault="00457424" w:rsidP="00457424">
      <w:pPr>
        <w:spacing w:line="360" w:lineRule="auto"/>
        <w:jc w:val="both"/>
        <w:rPr>
          <w:rFonts w:eastAsia="Times New Roman"/>
          <w:b/>
          <w:bCs/>
          <w:color w:val="0070C0"/>
          <w:sz w:val="28"/>
          <w:szCs w:val="28"/>
        </w:rPr>
      </w:pPr>
      <w:r w:rsidRPr="00457424">
        <w:rPr>
          <w:rFonts w:eastAsia="Times New Roman"/>
          <w:b/>
          <w:bCs/>
          <w:color w:val="0070C0"/>
          <w:sz w:val="28"/>
          <w:szCs w:val="28"/>
        </w:rPr>
        <w:t xml:space="preserve">Крюков, А. В.   Моделирование несинусоидальных режимов в системах электроснабжения железных дорог при движении локомотивов с асинхронными тяговыми двигателями [Текст] / А. В. Крюков, А. В. Черепанов, А. Р. </w:t>
      </w:r>
      <w:r w:rsidRPr="00457424">
        <w:rPr>
          <w:rFonts w:eastAsia="Times New Roman"/>
          <w:b/>
          <w:bCs/>
          <w:color w:val="0070C0"/>
          <w:sz w:val="28"/>
          <w:szCs w:val="28"/>
        </w:rPr>
        <w:lastRenderedPageBreak/>
        <w:t>Шафиков    // Современные технологии. Системный анализ. Моделирование. - 2018 . - № 4 (60). - С. 99–108.</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Выпрямительные электровозы обладают нелинейными вольтамперными характеристиками и генерируют в питающие сети высшие гармоники (ВГ), что сопровождается следующими негативными эффектами: снижение сроков службы оборудования, искажение учета электроэнергии, возникновение резонансных процессов и т. д. Поэтому задача снижения уровней гармонических искажений в сетях, примыкающих к тяговым подстанциям железных дорог переменного тока, имеет повышенную актуальность.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Уровень генерации ВГ зависит от конструктивных особенностей электровозов. Электроподвижной состав с зонно-фазовым регулированием создает большие гармонические искажения; при этом возрастают потери мощности в тяговой сети и снижается надежность электроснабжения. Электровозы нового поколения, оснащенные асинхронными двигателями (АЭД) и 4q-S-преобразователями, позволяют формировать кривую тока, близкую к синусоидальной, и уменьшают гармонические искажения.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Для количественной оценки степени уменьшения гармонических искажений при движении локомотивов с АЭД проведено имитационное моделирование несинусоидальных режимов типовой системы тягового электроснабжения 25 кВ для двух вариантов используемых локомотивов: ВЛ-80Р с зонно-фазовым регулированием; UTY-1 с асинхронными двигателями и четырехквадрантными преобразователями.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В основу методики определения несинусоидальных режимов положена технология моделирования электроэнергетических систем в фазных координатах с применением решетчатых схем с полносвязной топологией. Такие схемы построены с использованием элементов с параметрами, зависящими от частоты. Поэтому они могут быть достаточно просто пересчитаны на частоты ВГ. Зависимости от текущего режима параметров, характеризующих источники гармоник, не оказывают существенного влияния на результаты расчетов. Это связано с тем, что первая гармоника является доминирующей и параметры источников определяются путем </w:t>
      </w:r>
      <w:r w:rsidRPr="00457424">
        <w:rPr>
          <w:rFonts w:eastAsia="Times New Roman"/>
          <w:bCs/>
          <w:sz w:val="28"/>
          <w:szCs w:val="28"/>
        </w:rPr>
        <w:lastRenderedPageBreak/>
        <w:t xml:space="preserve">предварительного расчета режима на основной частоте. Предложенный подход обладает универсальностью и может быть использован для исследования несинусоидальных режимов в специфических и перспективных системах тягового электроснабжения.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Результаты моделирования показали, что проблема повышенного уровня гармонических искажений в сетях, питающих тяговые подстанции, может быть полностью решена при замене существующих локомотивов на электровозы нового поколения с асинхронными электроприводами и четырехквадрантными преобразователями.</w:t>
      </w:r>
    </w:p>
    <w:p w:rsidR="00457424" w:rsidRPr="00457424" w:rsidRDefault="00457424" w:rsidP="00457424">
      <w:pPr>
        <w:spacing w:line="360" w:lineRule="auto"/>
        <w:jc w:val="both"/>
        <w:rPr>
          <w:rFonts w:eastAsia="Times New Roman"/>
          <w:b/>
          <w:bCs/>
          <w:color w:val="0070C0"/>
          <w:sz w:val="28"/>
          <w:szCs w:val="28"/>
        </w:rPr>
      </w:pPr>
      <w:r w:rsidRPr="00457424">
        <w:rPr>
          <w:rFonts w:eastAsia="Times New Roman"/>
          <w:b/>
          <w:bCs/>
          <w:color w:val="0070C0"/>
          <w:sz w:val="28"/>
          <w:szCs w:val="28"/>
        </w:rPr>
        <w:t>Алтынников, Д.С.   Определение поперечных напряжений в шейке рельсов в зависимости от динамических нагрузок на подходах к мостам [Текст] / Д. С. Алтынников, Д. А. Ковенькин    // Современные технологии. Системный анализ. Моделирование. - 2018 . - № 4 (60). - С. 108–117.</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В связи с тем, что пространственное развитие страны не стоит на месте, вместе с тем растет и потребность в увеличении пропускной способности и безопасной эксплуатации сети железных дорог, которая повышает конкурентоспособность российской экономики. Увеличение грузонапряженности и скоростного режима на путях железных дорог ведет к ускоренному расстройству железнодорожного полотна, что, в свою очередь, влияет на безопасность движения и дополнительные затраты. Поэтому решение данной проблемы поспособствует снижению экономических вложений и повысит надежность железнодорожных сообщений.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Расчет железнодорожного пути на прочность является одним из важных и сложных разделов общей проблемы исследования взаимодействия пути и подвижного состава. Для проведения такого расчета важным является нахождение правильных функциональных зависимостей между действующими на рельсовую нить внешними силами и модулем упругости. Величина данных показателей зависит от множества факторов, таких как скорость движения, радиус кривой, строение пути.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В статье описаны теоретические и экспериментальные исследования горизонтальной поперечной жесткости рельсовых нитей на подходах к мостам с безбалластным мостовым полотном. Установлено, что в рельсовом пути, </w:t>
      </w:r>
      <w:r w:rsidRPr="00457424">
        <w:rPr>
          <w:rFonts w:eastAsia="Times New Roman"/>
          <w:bCs/>
          <w:sz w:val="28"/>
          <w:szCs w:val="28"/>
        </w:rPr>
        <w:lastRenderedPageBreak/>
        <w:t xml:space="preserve">расположенном на переходном участке, возникают повышенные деформационные напряжения. Эти напряжения влияют на состояние верхнего и нижнего строения пути, что приводит к отклонению от нормативных значений.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Представлена практическая работа измерительного комплекса «Тензор МС» и его конструктивный состав. Работа оборудования основана на использовании тензорезисторов и пьезоэлектрических преобразователей. В ходе исследования измеренных данных установлены характерные места проявления повышенных напряжений в рельсовом пути на подходах к мостам. Для практических измерений в качестве примера в статье были выбраны мосты через реки Шанхайка и Иркут.</w:t>
      </w:r>
    </w:p>
    <w:p w:rsidR="00457424" w:rsidRPr="00457424" w:rsidRDefault="00457424" w:rsidP="00457424">
      <w:pPr>
        <w:spacing w:line="360" w:lineRule="auto"/>
        <w:jc w:val="both"/>
        <w:rPr>
          <w:rFonts w:eastAsia="Times New Roman"/>
          <w:b/>
          <w:bCs/>
          <w:color w:val="0070C0"/>
          <w:sz w:val="28"/>
          <w:szCs w:val="28"/>
        </w:rPr>
      </w:pPr>
      <w:r w:rsidRPr="00457424">
        <w:rPr>
          <w:rFonts w:eastAsia="Times New Roman"/>
          <w:b/>
          <w:bCs/>
          <w:color w:val="0070C0"/>
          <w:sz w:val="28"/>
          <w:szCs w:val="28"/>
        </w:rPr>
        <w:t>Степанов, В. С.   Системный анализ целесообразности создания локальных энергосистем [Текст] / В. С. Степанов, Т. Б. Степанова, А. А. Старикова    // Современные технологии. Системный анализ. Моделирование. - 2018 . - № 4 (60). - С. 117–124.</w:t>
      </w:r>
    </w:p>
    <w:p w:rsidR="00457424" w:rsidRPr="00457424" w:rsidRDefault="00457424" w:rsidP="00457424">
      <w:pPr>
        <w:spacing w:line="360" w:lineRule="auto"/>
        <w:jc w:val="both"/>
        <w:rPr>
          <w:rFonts w:eastAsia="Times New Roman"/>
          <w:bCs/>
          <w:sz w:val="28"/>
          <w:szCs w:val="28"/>
        </w:rPr>
      </w:pPr>
      <w:r w:rsidRPr="00457424">
        <w:rPr>
          <w:rFonts w:eastAsia="Times New Roman"/>
          <w:b/>
          <w:bCs/>
          <w:color w:val="0070C0"/>
          <w:sz w:val="28"/>
          <w:szCs w:val="28"/>
        </w:rPr>
        <w:tab/>
      </w:r>
      <w:r w:rsidRPr="00457424">
        <w:rPr>
          <w:rFonts w:eastAsia="Times New Roman"/>
          <w:bCs/>
          <w:sz w:val="28"/>
          <w:szCs w:val="28"/>
        </w:rPr>
        <w:t>Описаны результаты системного анализа эффективности электроснабжения изолированных районов на базе ветроэнергетических установок (ВЭУ). Были сопоставлены две схемы электроснабжения района: вариант 1 – от энергетической системы (ЭЭС) с генерацией в ней электроэнергии на угольных КЭС; вариант 2 – от локальной системы, сформированной на базе ВЭУ (ветропарка). Определены технико-экономические показатели схемы электроснабжения от ЭЭС с вариацией основных параметров – протяженности высоковольтной линии до рассматриваемого района, стоимости дополнительного киловатта мощности на тепловой электростанции, удельного расхода топлива на выработку электроэнергии на ней и его стоимости. Для варианта локальной энергосистемы с генерацией от ветропарка обозначенные показатели были определены при вариации удельных затрат на установленную мощность на ВЭУ и стоимости реализованной в районе электроэнергии. Показана зависимость срока окупаемости капиталовложений от удаленности региона от энергосистемы и цены электроэнергии в ней для 1-го варианта электроснабжения, а также зависимость рентабельности сооружения ветропарка в рассматриваемом регионе от величины удельных затрат на киловатт генерируемой мощности и стоимости электроэнергии</w:t>
      </w:r>
    </w:p>
    <w:p w:rsidR="00457424" w:rsidRPr="00457424" w:rsidRDefault="00457424" w:rsidP="00457424">
      <w:pPr>
        <w:spacing w:line="360" w:lineRule="auto"/>
        <w:jc w:val="both"/>
        <w:rPr>
          <w:rFonts w:eastAsia="Times New Roman"/>
          <w:b/>
          <w:bCs/>
          <w:color w:val="0070C0"/>
          <w:sz w:val="28"/>
          <w:szCs w:val="28"/>
        </w:rPr>
      </w:pPr>
      <w:r w:rsidRPr="00457424">
        <w:rPr>
          <w:rFonts w:eastAsia="Times New Roman"/>
          <w:b/>
          <w:bCs/>
          <w:color w:val="0070C0"/>
          <w:sz w:val="28"/>
          <w:szCs w:val="28"/>
        </w:rPr>
        <w:lastRenderedPageBreak/>
        <w:t>Гозбенко, В. Е.   Автоматизация отдельных операций перевозочного процесса с целью обеспечения достаточных условий для оптимального функционирования «цифрового» транспорта и логистики [Текст] / В. Е. Гозбенко, В. А. Оленцевич, Ю. И. Белоголов    // Современные технологии. Системный анализ. Моделирование. - 2018 . - № 4 (60). - С. 125–132.</w:t>
      </w:r>
    </w:p>
    <w:p w:rsidR="00457424" w:rsidRPr="00457424" w:rsidRDefault="00457424" w:rsidP="00457424">
      <w:pPr>
        <w:spacing w:line="360" w:lineRule="auto"/>
        <w:jc w:val="both"/>
        <w:rPr>
          <w:rFonts w:eastAsia="Times New Roman"/>
          <w:bCs/>
          <w:color w:val="0070C0"/>
          <w:sz w:val="28"/>
          <w:szCs w:val="28"/>
        </w:rPr>
      </w:pPr>
      <w:r w:rsidRPr="00457424">
        <w:rPr>
          <w:rFonts w:eastAsia="Times New Roman"/>
          <w:b/>
          <w:bCs/>
          <w:color w:val="0070C0"/>
          <w:sz w:val="28"/>
          <w:szCs w:val="28"/>
        </w:rPr>
        <w:tab/>
      </w:r>
      <w:r w:rsidRPr="00457424">
        <w:rPr>
          <w:rFonts w:eastAsia="Times New Roman"/>
          <w:bCs/>
          <w:sz w:val="28"/>
          <w:szCs w:val="28"/>
        </w:rPr>
        <w:t>Вопросы развития и создания современных систем автоматизации в железнодорожной транспортной системе в последнее время вновь становятся актуальными и требующими разработки. Современная эволюция, происходящая в сфере информационных технологий, позволит транспортной отрасли претворять в жизнь концепцию маркетингового клиентоориентированного подхода. Цифровизация транспорта и логистики, как одной из основных социальных отраслей России, применение современных транспортно-технических средств, программных комплексов позволяет повысить технико-экономическую эффективность функционирования транспортного комплекса в целом и по отдельным подсистемам, а также обеспечить высокое качество предоставляемых услуг. Задача оператора транспортно-логистического рынка основывается на выборе определенного алгоритма эффективных действий в той или иной ситуации, который определяется по библиотеке оптимальных установленных решений, причем благодаря присутствию цифровизации логистических транспортных цепей существует возможность оперировать решениями, что зависит от рода груза, вида подвижного состава для перевозки, их адаптации к параметрам клиентской подсистемы. Внедрение разработанной авторами вычислительной процедуры принятия решений по размещению и креплению груза в подвижном составе с учетом прогнозных параметров его сдвига при условии движения позволит прогнозировать момент наступления случая риска на первоначальном этапе перевозочного процесса – приеме груза к перевозке. Такая процедура позволит повысить качество работы транспортной системы и уровень ее безопасности по всем направлениям деятельности.</w:t>
      </w:r>
    </w:p>
    <w:p w:rsidR="00457424" w:rsidRPr="00457424" w:rsidRDefault="00457424" w:rsidP="00457424">
      <w:pPr>
        <w:spacing w:line="360" w:lineRule="auto"/>
        <w:jc w:val="both"/>
        <w:rPr>
          <w:rFonts w:eastAsia="Times New Roman"/>
          <w:b/>
          <w:bCs/>
          <w:color w:val="0070C0"/>
          <w:sz w:val="28"/>
          <w:szCs w:val="28"/>
        </w:rPr>
      </w:pPr>
    </w:p>
    <w:p w:rsidR="00457424" w:rsidRPr="00457424" w:rsidRDefault="00457424" w:rsidP="00457424">
      <w:pPr>
        <w:spacing w:line="360" w:lineRule="auto"/>
        <w:jc w:val="both"/>
        <w:rPr>
          <w:rFonts w:eastAsia="Times New Roman"/>
          <w:b/>
          <w:bCs/>
          <w:color w:val="0070C0"/>
          <w:sz w:val="28"/>
          <w:szCs w:val="28"/>
        </w:rPr>
      </w:pPr>
    </w:p>
    <w:p w:rsidR="00457424" w:rsidRPr="00457424" w:rsidRDefault="00457424" w:rsidP="00457424">
      <w:pPr>
        <w:spacing w:line="360" w:lineRule="auto"/>
        <w:jc w:val="both"/>
        <w:rPr>
          <w:rFonts w:eastAsia="Times New Roman"/>
          <w:b/>
          <w:bCs/>
          <w:color w:val="0070C0"/>
          <w:sz w:val="28"/>
          <w:szCs w:val="28"/>
        </w:rPr>
      </w:pPr>
      <w:r w:rsidRPr="00457424">
        <w:rPr>
          <w:rFonts w:eastAsia="Times New Roman"/>
          <w:b/>
          <w:bCs/>
          <w:color w:val="0070C0"/>
          <w:sz w:val="28"/>
          <w:szCs w:val="28"/>
        </w:rPr>
        <w:lastRenderedPageBreak/>
        <w:t>Намжилдорж, Н.   Интенсификация перевозки грузов по сети АО «Улан-Баторская железная дорога» на 2020 год [Текст] / Намсрай Намжилдорж    // Современные технологии. Системный анализ. Моделирование. - 2018. - № 4 (60). - С. 132–138.</w:t>
      </w:r>
    </w:p>
    <w:p w:rsidR="00457424" w:rsidRPr="00457424" w:rsidRDefault="00457424" w:rsidP="00457424">
      <w:pPr>
        <w:spacing w:line="360" w:lineRule="auto"/>
        <w:jc w:val="both"/>
        <w:rPr>
          <w:rFonts w:eastAsia="Times New Roman"/>
          <w:bCs/>
          <w:sz w:val="28"/>
          <w:szCs w:val="28"/>
        </w:rPr>
      </w:pPr>
      <w:r w:rsidRPr="00457424">
        <w:rPr>
          <w:rFonts w:eastAsia="Times New Roman"/>
          <w:b/>
          <w:bCs/>
          <w:color w:val="0070C0"/>
          <w:sz w:val="28"/>
          <w:szCs w:val="28"/>
        </w:rPr>
        <w:tab/>
      </w:r>
      <w:r w:rsidRPr="00457424">
        <w:rPr>
          <w:rFonts w:eastAsia="Times New Roman"/>
          <w:bCs/>
          <w:sz w:val="28"/>
          <w:szCs w:val="28"/>
        </w:rPr>
        <w:t xml:space="preserve">Прогноз предусматривает модернизацию и развитие существующей сети железных дорог АО «УБЖД», без учета ввода в эксплуатацию новых железнодорожных линий в Монголии.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Объемы международных перевозок грузов через пограничный переход Сухэ-Батор (Монголия) – Наушки (Россия) прогноза в целом увязаны с показателями загрузки данного пограничного перехода, принятыми в рамках «Генеральной схемы развития сети железных дорог ОАО «РЖД» на период до 2020 года».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В соответствии с прогнозом общие объемы грузовых перевозок по сети АО «УБЖД» к 2020 году увеличатся до 34,6 млн т (+65 % к уровню 2013 года), при этом внутренние перевозки грузов достигнут показателя 17,0 млн т (+59 %), международные перевозки – 17,6 млн т (+71 %).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Увеличение международных перевозок грузов предусматривается в основном за счет развития экспортного потенциала Монголии и наращивания экспортных поставок, главным образом, продукции горнорудной промышленности Монголии: наращивание добычи на железорудных месторождениях Баянгол (+2,0 млн т к уровню 2013 года), Тумуртей (+1,0 млн т), Баргилт (+0,3 млн т), согласно положению «Перспективные объемы погрузки грузов со станций, обслуживающих существующие и перспективные месторождения на сети АО «УБЖД».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Объем перевозок экспортных грузов Монголии на 2020 год прогнозируется в размере 11,8 млн т (рост почти в 2 раза к уровню 2013 года), импортных грузов Монголии – 2,7 млн т (+8 %), грузов международного транзита – 3,1 млн т (+82 %).</w:t>
      </w:r>
    </w:p>
    <w:p w:rsidR="00457424" w:rsidRPr="00457424" w:rsidRDefault="00457424" w:rsidP="00457424">
      <w:pPr>
        <w:spacing w:line="360" w:lineRule="auto"/>
        <w:jc w:val="both"/>
        <w:rPr>
          <w:rFonts w:eastAsia="Times New Roman"/>
          <w:b/>
          <w:bCs/>
          <w:color w:val="0070C0"/>
          <w:sz w:val="28"/>
          <w:szCs w:val="28"/>
        </w:rPr>
      </w:pPr>
    </w:p>
    <w:p w:rsidR="00457424" w:rsidRPr="00457424" w:rsidRDefault="00457424" w:rsidP="00457424">
      <w:pPr>
        <w:spacing w:line="360" w:lineRule="auto"/>
        <w:jc w:val="both"/>
        <w:rPr>
          <w:rFonts w:eastAsia="Times New Roman"/>
          <w:b/>
          <w:bCs/>
          <w:color w:val="0070C0"/>
          <w:sz w:val="28"/>
          <w:szCs w:val="28"/>
        </w:rPr>
      </w:pPr>
    </w:p>
    <w:p w:rsidR="00457424" w:rsidRPr="00457424" w:rsidRDefault="00457424" w:rsidP="00457424">
      <w:pPr>
        <w:spacing w:line="360" w:lineRule="auto"/>
        <w:jc w:val="both"/>
        <w:rPr>
          <w:rFonts w:eastAsia="Times New Roman"/>
          <w:b/>
          <w:bCs/>
          <w:color w:val="0070C0"/>
          <w:sz w:val="28"/>
          <w:szCs w:val="28"/>
        </w:rPr>
      </w:pPr>
    </w:p>
    <w:p w:rsidR="00457424" w:rsidRPr="00457424" w:rsidRDefault="00457424" w:rsidP="00457424">
      <w:pPr>
        <w:spacing w:line="360" w:lineRule="auto"/>
        <w:jc w:val="both"/>
        <w:rPr>
          <w:rFonts w:eastAsia="Times New Roman"/>
          <w:b/>
          <w:bCs/>
          <w:color w:val="0070C0"/>
          <w:sz w:val="28"/>
          <w:szCs w:val="28"/>
        </w:rPr>
      </w:pPr>
    </w:p>
    <w:p w:rsidR="00457424" w:rsidRPr="00457424" w:rsidRDefault="00457424" w:rsidP="00457424">
      <w:pPr>
        <w:spacing w:line="360" w:lineRule="auto"/>
        <w:jc w:val="both"/>
        <w:rPr>
          <w:rFonts w:eastAsia="Times New Roman"/>
          <w:b/>
          <w:bCs/>
          <w:color w:val="0070C0"/>
          <w:sz w:val="28"/>
          <w:szCs w:val="28"/>
        </w:rPr>
      </w:pPr>
      <w:r w:rsidRPr="00457424">
        <w:rPr>
          <w:rFonts w:eastAsia="Times New Roman"/>
          <w:b/>
          <w:bCs/>
          <w:color w:val="0070C0"/>
          <w:sz w:val="28"/>
          <w:szCs w:val="28"/>
        </w:rPr>
        <w:lastRenderedPageBreak/>
        <w:t>Медведев, А. Победа по всем статьям! [Текст] / А. Медведев // Республика Татарстан. – 2019. - №36. – 14 марта.</w:t>
      </w:r>
    </w:p>
    <w:p w:rsidR="00457424" w:rsidRPr="00457424" w:rsidRDefault="00457424" w:rsidP="00457424">
      <w:pPr>
        <w:spacing w:line="360" w:lineRule="auto"/>
        <w:ind w:left="4248" w:firstLine="708"/>
        <w:jc w:val="both"/>
        <w:rPr>
          <w:rFonts w:eastAsia="Times New Roman"/>
          <w:bCs/>
          <w:sz w:val="28"/>
          <w:szCs w:val="28"/>
        </w:rPr>
      </w:pPr>
      <w:r w:rsidRPr="00457424">
        <w:rPr>
          <w:noProof/>
          <w:sz w:val="28"/>
          <w:szCs w:val="28"/>
        </w:rPr>
        <w:drawing>
          <wp:anchor distT="0" distB="0" distL="114300" distR="114300" simplePos="0" relativeHeight="251660288" behindDoc="1" locked="0" layoutInCell="1" allowOverlap="1" wp14:anchorId="7307F28F" wp14:editId="12F13A7C">
            <wp:simplePos x="0" y="0"/>
            <wp:positionH relativeFrom="margin">
              <wp:posOffset>-12700</wp:posOffset>
            </wp:positionH>
            <wp:positionV relativeFrom="page">
              <wp:posOffset>1510665</wp:posOffset>
            </wp:positionV>
            <wp:extent cx="2660015" cy="1733550"/>
            <wp:effectExtent l="0" t="0" r="698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0015" cy="1733550"/>
                    </a:xfrm>
                    <a:prstGeom prst="rect">
                      <a:avLst/>
                    </a:prstGeom>
                    <a:noFill/>
                  </pic:spPr>
                </pic:pic>
              </a:graphicData>
            </a:graphic>
            <wp14:sizeRelH relativeFrom="margin">
              <wp14:pctWidth>0</wp14:pctWidth>
            </wp14:sizeRelH>
            <wp14:sizeRelV relativeFrom="margin">
              <wp14:pctHeight>0</wp14:pctHeight>
            </wp14:sizeRelV>
          </wp:anchor>
        </w:drawing>
      </w:r>
      <w:r w:rsidRPr="00457424">
        <w:rPr>
          <w:rFonts w:eastAsia="Times New Roman"/>
          <w:bCs/>
          <w:sz w:val="28"/>
          <w:szCs w:val="28"/>
        </w:rPr>
        <w:t>Золотая медаль по итогам мужского хоккейного турнира стала последней в копилке сборной России на Универсиаде, своего рода вишенкой на победном торте. По итогам всех соревнований студенческая команда страны завоевала в Красноярске 112 медалей – 41 золотую, 39 серебряных и 32 бронзовые.</w:t>
      </w:r>
    </w:p>
    <w:p w:rsidR="00457424" w:rsidRPr="00457424" w:rsidRDefault="00457424" w:rsidP="00457424">
      <w:pPr>
        <w:spacing w:line="360" w:lineRule="auto"/>
        <w:jc w:val="both"/>
        <w:rPr>
          <w:rFonts w:eastAsia="Times New Roman"/>
          <w:bCs/>
          <w:sz w:val="28"/>
          <w:szCs w:val="28"/>
        </w:rPr>
      </w:pPr>
      <w:r w:rsidRPr="00457424">
        <w:rPr>
          <w:rFonts w:eastAsia="Times New Roman"/>
          <w:bCs/>
          <w:sz w:val="28"/>
          <w:szCs w:val="28"/>
        </w:rPr>
        <w:t>Татарстанские спортсмены, а их в составе сборной России было 25, внесли существенный вклад в общую победу.</w:t>
      </w:r>
    </w:p>
    <w:p w:rsidR="00457424" w:rsidRPr="00457424" w:rsidRDefault="00457424" w:rsidP="00457424">
      <w:pPr>
        <w:spacing w:line="360" w:lineRule="auto"/>
        <w:jc w:val="both"/>
        <w:rPr>
          <w:rFonts w:eastAsia="Times New Roman"/>
          <w:b/>
          <w:bCs/>
          <w:color w:val="0070C0"/>
          <w:sz w:val="28"/>
          <w:szCs w:val="28"/>
        </w:rPr>
      </w:pPr>
      <w:r w:rsidRPr="00457424">
        <w:rPr>
          <w:rFonts w:eastAsia="Times New Roman"/>
          <w:b/>
          <w:bCs/>
          <w:color w:val="0070C0"/>
          <w:sz w:val="28"/>
          <w:szCs w:val="28"/>
        </w:rPr>
        <w:t>Якушева, Ф. Спутник потребителя: Не попадайтесь на этот «развод»</w:t>
      </w:r>
      <w:r w:rsidRPr="00457424">
        <w:rPr>
          <w:b/>
          <w:color w:val="0070C0"/>
          <w:sz w:val="28"/>
          <w:szCs w:val="28"/>
        </w:rPr>
        <w:t xml:space="preserve"> </w:t>
      </w:r>
      <w:r w:rsidRPr="00457424">
        <w:rPr>
          <w:rFonts w:eastAsia="Times New Roman"/>
          <w:b/>
          <w:bCs/>
          <w:color w:val="0070C0"/>
          <w:sz w:val="28"/>
          <w:szCs w:val="28"/>
        </w:rPr>
        <w:t>[Текст] /</w:t>
      </w:r>
      <w:r w:rsidRPr="00457424">
        <w:rPr>
          <w:b/>
          <w:color w:val="0070C0"/>
          <w:sz w:val="28"/>
          <w:szCs w:val="28"/>
        </w:rPr>
        <w:t xml:space="preserve"> Ф. </w:t>
      </w:r>
      <w:r w:rsidRPr="00457424">
        <w:rPr>
          <w:rFonts w:eastAsia="Times New Roman"/>
          <w:b/>
          <w:bCs/>
          <w:color w:val="0070C0"/>
          <w:sz w:val="28"/>
          <w:szCs w:val="28"/>
        </w:rPr>
        <w:t>Якушева //</w:t>
      </w:r>
      <w:r w:rsidRPr="00457424">
        <w:rPr>
          <w:b/>
          <w:color w:val="0070C0"/>
          <w:sz w:val="28"/>
          <w:szCs w:val="28"/>
        </w:rPr>
        <w:t xml:space="preserve"> </w:t>
      </w:r>
      <w:r w:rsidRPr="00457424">
        <w:rPr>
          <w:rFonts w:eastAsia="Times New Roman"/>
          <w:b/>
          <w:bCs/>
          <w:color w:val="0070C0"/>
          <w:sz w:val="28"/>
          <w:szCs w:val="28"/>
        </w:rPr>
        <w:t>Республика Татарстан. – 2019. - №36. – 14 марта.</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После серии трагедий в ряде регионов страны, вызванных неисправностью газового оборудования и утечками газа, активизировались мошенники. Лжегазовики вновь ходят по домам и предлагают дорогостоящее оборудование, которое якобы убережёт от взрыва.</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В рамках техобслуживания газовик должен провести: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 осмотр целостности и соответствия нормативным требованиям внутриквартирного и внутридомового газового оборудования;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 осмотр наличия свободного доступа к оборудованию;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 осмотр состояния окраски и креплений газопровода;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 осмотр наличия и целостности футляров в местах прокладки через наружные и внутренние конструкции многоквартирных домов;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 проверку герметичности соединений и отключающих устройств (приборный метод, обмыливание);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 проверку работоспособности и смазку отключающих устройств;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 разборку и смазку кранов бытового газоиспользующего оборудования;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lastRenderedPageBreak/>
        <w:t xml:space="preserve">– проверку работоспособности устройств, позволяющих автоматически отключить подачу газа при отключении контролируемых параметров за допустимые пределы, их наладку и регулировку;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 регулировку процесса сжигания газа на всех режимах работы, очистку горелок от загрязнений;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 xml:space="preserve">– проверку наличия тяги в дымовых и вентиляционных каналах, состояния соединительных труб с дымовым каналом. </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Если потребителя не устраивает качество работы специалистов газовой службы, то он может оставить свои замечания в полях «Отметка об исполнении» и «Особое мнение» в акте сдачи-приёмки выполненных работ.</w:t>
      </w:r>
    </w:p>
    <w:p w:rsidR="00457424" w:rsidRPr="00457424" w:rsidRDefault="00457424" w:rsidP="00457424">
      <w:pPr>
        <w:spacing w:line="360" w:lineRule="auto"/>
        <w:jc w:val="both"/>
        <w:rPr>
          <w:rFonts w:eastAsia="Times New Roman"/>
          <w:b/>
          <w:bCs/>
          <w:color w:val="0070C0"/>
          <w:sz w:val="28"/>
          <w:szCs w:val="28"/>
        </w:rPr>
      </w:pPr>
      <w:r w:rsidRPr="00457424">
        <w:rPr>
          <w:rFonts w:eastAsia="Times New Roman"/>
          <w:b/>
          <w:bCs/>
          <w:color w:val="0070C0"/>
          <w:sz w:val="28"/>
          <w:szCs w:val="28"/>
        </w:rPr>
        <w:t>Арсентьева, С. Ильдар Фатихов: Звёзд медицины растим у себя [Текст] / С. Арсентьева // Республика Татарстан. – 2019. - №36. – 14 марта.</w:t>
      </w:r>
    </w:p>
    <w:p w:rsidR="00457424" w:rsidRPr="00457424" w:rsidRDefault="00457424" w:rsidP="00457424">
      <w:pPr>
        <w:spacing w:line="360" w:lineRule="auto"/>
        <w:ind w:left="3540" w:firstLine="708"/>
        <w:jc w:val="both"/>
        <w:rPr>
          <w:rFonts w:eastAsia="Times New Roman"/>
          <w:bCs/>
          <w:sz w:val="28"/>
          <w:szCs w:val="28"/>
        </w:rPr>
      </w:pPr>
      <w:r w:rsidRPr="00457424">
        <w:rPr>
          <w:noProof/>
          <w:sz w:val="28"/>
          <w:szCs w:val="28"/>
        </w:rPr>
        <w:drawing>
          <wp:anchor distT="0" distB="0" distL="114300" distR="114300" simplePos="0" relativeHeight="251661312" behindDoc="1" locked="0" layoutInCell="1" allowOverlap="1" wp14:anchorId="4B5D5521" wp14:editId="5697A1A9">
            <wp:simplePos x="0" y="0"/>
            <wp:positionH relativeFrom="margin">
              <wp:align>left</wp:align>
            </wp:positionH>
            <wp:positionV relativeFrom="paragraph">
              <wp:posOffset>177800</wp:posOffset>
            </wp:positionV>
            <wp:extent cx="1961515" cy="1327150"/>
            <wp:effectExtent l="0" t="0" r="635" b="635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1515" cy="1327150"/>
                    </a:xfrm>
                    <a:prstGeom prst="rect">
                      <a:avLst/>
                    </a:prstGeom>
                    <a:noFill/>
                  </pic:spPr>
                </pic:pic>
              </a:graphicData>
            </a:graphic>
            <wp14:sizeRelH relativeFrom="margin">
              <wp14:pctWidth>0</wp14:pctWidth>
            </wp14:sizeRelH>
            <wp14:sizeRelV relativeFrom="margin">
              <wp14:pctHeight>0</wp14:pctHeight>
            </wp14:sizeRelV>
          </wp:anchor>
        </w:drawing>
      </w:r>
      <w:r w:rsidRPr="00457424">
        <w:rPr>
          <w:rFonts w:eastAsia="Times New Roman"/>
          <w:bCs/>
          <w:sz w:val="28"/>
          <w:szCs w:val="28"/>
        </w:rPr>
        <w:t xml:space="preserve">«Кадры решают всё» – эту сталинскую цитату все знают. Но мало кто помнит, что в первоисточнике она звучит несколько иначе: «Кадры, овладевшие техникой, решают всё». Вот в таком виде это крылатое выражение вполне годится и для определения ситуации в татарстанском здравоохранении. </w:t>
      </w:r>
    </w:p>
    <w:p w:rsidR="00457424" w:rsidRPr="00457424" w:rsidRDefault="00457424" w:rsidP="00457424">
      <w:pPr>
        <w:spacing w:line="360" w:lineRule="auto"/>
        <w:jc w:val="both"/>
        <w:rPr>
          <w:rFonts w:eastAsia="Times New Roman"/>
          <w:bCs/>
          <w:sz w:val="28"/>
          <w:szCs w:val="28"/>
        </w:rPr>
      </w:pPr>
      <w:r w:rsidRPr="00457424">
        <w:rPr>
          <w:rFonts w:eastAsia="Times New Roman"/>
          <w:bCs/>
          <w:sz w:val="28"/>
          <w:szCs w:val="28"/>
        </w:rPr>
        <w:t>При определённом недостатке медицинских работников высшего и среднего звена по большинству показателей республиканская отрасль здоровья – в числе лучших по Приволжскому округу. Так, мы чуть ли не единственные в округе, сохраняющие темпы естественного прироста населения. У нас самая низкая в округе младенческая смертность. И одновременно продолжительность жизни в Татарстане выше, чем в среднем по РФ. Никто не решится оспаривать и тот факт, что в республике на уровне высокотехнологичная медицина, что по технической оснащённости республиканские больницы не уступают лучшим российским, а порой и зарубежным клиникам. Не все, конечно, но главные – да.</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Обеспеченность врачами в РТ за 2018 год составила 34,5 на 10 тыс. населения (показатель по РФ составил 37,3). Обеспеченность средними медицинскими работниками – 91,2 на 10 тыс. населения (показатель по РФ – 86,2)</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lastRenderedPageBreak/>
        <w:t>По итогам 2018 года в республике сегодня трудятся 48925 медицинских работников, 13423 из них – врачи. Динамика численности медицинских кадров в медицинских организациях, подведомственных Министерству здравоохранения Республики Татарстан, составила плюс 221 врач и 595 средних медицинских работников</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Подготовка среднего медицинского персонала в республике проходит в десяти государственных автономных образовательных учреждениях среднего профессионального образования, подведомственных Министерству здравоохранения РТ. В 2018 году приём в образовательные организации среднего профессионального образования составил 1332 человека, 92,7 процента выпускников трудоустраиваются в государственные медицинские учреждения республики</w:t>
      </w:r>
    </w:p>
    <w:p w:rsidR="00457424" w:rsidRPr="00457424" w:rsidRDefault="00457424" w:rsidP="00457424">
      <w:pPr>
        <w:spacing w:line="360" w:lineRule="auto"/>
        <w:ind w:firstLine="708"/>
        <w:jc w:val="both"/>
        <w:rPr>
          <w:rFonts w:eastAsia="Times New Roman"/>
          <w:b/>
          <w:bCs/>
          <w:color w:val="0070C0"/>
          <w:sz w:val="28"/>
          <w:szCs w:val="28"/>
        </w:rPr>
      </w:pPr>
      <w:r w:rsidRPr="00457424">
        <w:rPr>
          <w:rFonts w:eastAsia="Times New Roman"/>
          <w:b/>
          <w:bCs/>
          <w:color w:val="0070C0"/>
          <w:sz w:val="28"/>
          <w:szCs w:val="28"/>
        </w:rPr>
        <w:t>Донская, М. Процедура ЭКО: маршрут построен!</w:t>
      </w:r>
      <w:r w:rsidRPr="00457424">
        <w:rPr>
          <w:sz w:val="28"/>
          <w:szCs w:val="28"/>
        </w:rPr>
        <w:t xml:space="preserve"> </w:t>
      </w:r>
      <w:r w:rsidRPr="00457424">
        <w:rPr>
          <w:rFonts w:eastAsia="Times New Roman"/>
          <w:b/>
          <w:bCs/>
          <w:color w:val="0070C0"/>
          <w:sz w:val="28"/>
          <w:szCs w:val="28"/>
        </w:rPr>
        <w:t>[Текст] / М. Донская // Республика Татарстан. – 2019. - №36. – 14 марта.</w:t>
      </w:r>
    </w:p>
    <w:p w:rsidR="00457424" w:rsidRPr="00457424" w:rsidRDefault="00457424" w:rsidP="00457424">
      <w:pPr>
        <w:spacing w:line="360" w:lineRule="auto"/>
        <w:ind w:left="3540" w:firstLine="708"/>
        <w:jc w:val="both"/>
        <w:rPr>
          <w:rFonts w:eastAsia="Times New Roman"/>
          <w:bCs/>
          <w:sz w:val="28"/>
          <w:szCs w:val="28"/>
        </w:rPr>
      </w:pPr>
      <w:r w:rsidRPr="00457424">
        <w:rPr>
          <w:noProof/>
          <w:sz w:val="28"/>
          <w:szCs w:val="28"/>
        </w:rPr>
        <w:drawing>
          <wp:anchor distT="0" distB="0" distL="114300" distR="114300" simplePos="0" relativeHeight="251662336" behindDoc="1" locked="0" layoutInCell="1" allowOverlap="1" wp14:anchorId="1221C5F6" wp14:editId="34B4219F">
            <wp:simplePos x="0" y="0"/>
            <wp:positionH relativeFrom="margin">
              <wp:align>left</wp:align>
            </wp:positionH>
            <wp:positionV relativeFrom="paragraph">
              <wp:posOffset>-635</wp:posOffset>
            </wp:positionV>
            <wp:extent cx="2218690" cy="1460500"/>
            <wp:effectExtent l="0" t="0" r="0" b="635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8690" cy="1460500"/>
                    </a:xfrm>
                    <a:prstGeom prst="rect">
                      <a:avLst/>
                    </a:prstGeom>
                    <a:noFill/>
                  </pic:spPr>
                </pic:pic>
              </a:graphicData>
            </a:graphic>
            <wp14:sizeRelH relativeFrom="margin">
              <wp14:pctWidth>0</wp14:pctWidth>
            </wp14:sizeRelH>
            <wp14:sizeRelV relativeFrom="margin">
              <wp14:pctHeight>0</wp14:pctHeight>
            </wp14:sizeRelV>
          </wp:anchor>
        </w:drawing>
      </w:r>
      <w:r w:rsidRPr="00457424">
        <w:rPr>
          <w:rFonts w:eastAsia="Times New Roman"/>
          <w:bCs/>
          <w:sz w:val="28"/>
          <w:szCs w:val="28"/>
        </w:rPr>
        <w:t xml:space="preserve">Семейным парам и женщинам, которые мечтают о ребёнке и никак не могут забеременеть, на помощь приходят врачи-репродуктологи, специалисты по преодолению бесплодия. Но когда именно к ним нужно обращаться, чтобы не было слишком поздно для осуществления заветной мечты? </w:t>
      </w:r>
    </w:p>
    <w:p w:rsidR="00457424" w:rsidRPr="00457424" w:rsidRDefault="00457424" w:rsidP="00457424">
      <w:pPr>
        <w:spacing w:line="360" w:lineRule="auto"/>
        <w:jc w:val="both"/>
        <w:rPr>
          <w:rFonts w:eastAsia="Times New Roman"/>
          <w:bCs/>
          <w:sz w:val="28"/>
          <w:szCs w:val="28"/>
        </w:rPr>
      </w:pPr>
      <w:r w:rsidRPr="00457424">
        <w:rPr>
          <w:rFonts w:eastAsia="Times New Roman"/>
          <w:bCs/>
          <w:sz w:val="28"/>
          <w:szCs w:val="28"/>
        </w:rPr>
        <w:t>С чего начать путь к материнству и отцовству? Как не попасть в ловушку откровенных вымогателей от медицины, которые обещают решить проблему легко и просто, а в итоге годами выкачивают деньги из будущих родителей? Как выглядит правильная «маршрутная карта» семьи, которая приняла решение прибегнуть к ЭКО? Об этом рассказал гинеколог-репродуктолог, кандидат медицинских наук Александр Лапшихин.</w:t>
      </w:r>
    </w:p>
    <w:p w:rsidR="00457424" w:rsidRPr="00457424" w:rsidRDefault="00457424" w:rsidP="00457424">
      <w:pPr>
        <w:spacing w:line="360" w:lineRule="auto"/>
        <w:ind w:firstLine="708"/>
        <w:jc w:val="both"/>
        <w:rPr>
          <w:rFonts w:eastAsia="Times New Roman"/>
          <w:bCs/>
          <w:sz w:val="28"/>
          <w:szCs w:val="28"/>
        </w:rPr>
      </w:pPr>
      <w:r w:rsidRPr="00457424">
        <w:rPr>
          <w:rFonts w:eastAsia="Times New Roman"/>
          <w:bCs/>
          <w:sz w:val="28"/>
          <w:szCs w:val="28"/>
        </w:rPr>
        <w:t>ЭКО – это вполне естественный процесс. Ведь что такое оплодотворение? Это проникновение сперматозоида внутрь яйцеклетки. Отличие от естественного оплодотворения заключается лишь в том, что ЭКО – это на сто процентов медицинская процедура, и она всегда требует медицинской коррекции и поддержки.</w:t>
      </w:r>
    </w:p>
    <w:p w:rsidR="00CC2FBF" w:rsidRPr="00457424" w:rsidRDefault="00CC2FBF" w:rsidP="00457424">
      <w:pPr>
        <w:spacing w:line="360" w:lineRule="auto"/>
        <w:rPr>
          <w:sz w:val="28"/>
          <w:szCs w:val="28"/>
        </w:rPr>
      </w:pPr>
    </w:p>
    <w:sectPr w:rsidR="00CC2FBF" w:rsidRPr="00457424" w:rsidSect="00457424">
      <w:footerReference w:type="default" r:id="rId10"/>
      <w:pgSz w:w="11906" w:h="16838"/>
      <w:pgMar w:top="1134" w:right="567" w:bottom="1134" w:left="1134" w:header="142" w:footer="14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4A94" w:rsidRDefault="004A4A94" w:rsidP="00457424">
      <w:r>
        <w:separator/>
      </w:r>
    </w:p>
  </w:endnote>
  <w:endnote w:type="continuationSeparator" w:id="0">
    <w:p w:rsidR="004A4A94" w:rsidRDefault="004A4A94" w:rsidP="00457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9610910"/>
      <w:docPartObj>
        <w:docPartGallery w:val="Page Numbers (Bottom of Page)"/>
        <w:docPartUnique/>
      </w:docPartObj>
    </w:sdtPr>
    <w:sdtEndPr/>
    <w:sdtContent>
      <w:p w:rsidR="00457424" w:rsidRDefault="00457424">
        <w:pPr>
          <w:pStyle w:val="a5"/>
          <w:jc w:val="right"/>
        </w:pPr>
        <w:r w:rsidRPr="00457424">
          <w:rPr>
            <w:sz w:val="16"/>
            <w:szCs w:val="16"/>
          </w:rPr>
          <w:fldChar w:fldCharType="begin"/>
        </w:r>
        <w:r w:rsidRPr="00457424">
          <w:rPr>
            <w:sz w:val="16"/>
            <w:szCs w:val="16"/>
          </w:rPr>
          <w:instrText>PAGE   \* MERGEFORMAT</w:instrText>
        </w:r>
        <w:r w:rsidRPr="00457424">
          <w:rPr>
            <w:sz w:val="16"/>
            <w:szCs w:val="16"/>
          </w:rPr>
          <w:fldChar w:fldCharType="separate"/>
        </w:r>
        <w:r w:rsidR="00C811CF">
          <w:rPr>
            <w:noProof/>
            <w:sz w:val="16"/>
            <w:szCs w:val="16"/>
          </w:rPr>
          <w:t>1</w:t>
        </w:r>
        <w:r w:rsidRPr="00457424">
          <w:rPr>
            <w:sz w:val="16"/>
            <w:szCs w:val="16"/>
          </w:rPr>
          <w:fldChar w:fldCharType="end"/>
        </w:r>
      </w:p>
    </w:sdtContent>
  </w:sdt>
  <w:p w:rsidR="00457424" w:rsidRDefault="0045742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4A94" w:rsidRDefault="004A4A94" w:rsidP="00457424">
      <w:r>
        <w:separator/>
      </w:r>
    </w:p>
  </w:footnote>
  <w:footnote w:type="continuationSeparator" w:id="0">
    <w:p w:rsidR="004A4A94" w:rsidRDefault="004A4A94" w:rsidP="004574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193"/>
    <w:rsid w:val="00457424"/>
    <w:rsid w:val="004A4A94"/>
    <w:rsid w:val="006317E6"/>
    <w:rsid w:val="00796193"/>
    <w:rsid w:val="00B60FE9"/>
    <w:rsid w:val="00C811CF"/>
    <w:rsid w:val="00CC2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6E9D48-1207-4459-A67E-50E60B018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7424"/>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7424"/>
    <w:pPr>
      <w:tabs>
        <w:tab w:val="center" w:pos="4677"/>
        <w:tab w:val="right" w:pos="9355"/>
      </w:tabs>
    </w:pPr>
  </w:style>
  <w:style w:type="character" w:customStyle="1" w:styleId="a4">
    <w:name w:val="Верхний колонтитул Знак"/>
    <w:basedOn w:val="a0"/>
    <w:link w:val="a3"/>
    <w:uiPriority w:val="99"/>
    <w:rsid w:val="00457424"/>
    <w:rPr>
      <w:rFonts w:ascii="Times New Roman" w:eastAsiaTheme="minorEastAsia" w:hAnsi="Times New Roman" w:cs="Times New Roman"/>
      <w:sz w:val="24"/>
      <w:szCs w:val="24"/>
      <w:lang w:eastAsia="ru-RU"/>
    </w:rPr>
  </w:style>
  <w:style w:type="paragraph" w:styleId="a5">
    <w:name w:val="footer"/>
    <w:basedOn w:val="a"/>
    <w:link w:val="a6"/>
    <w:uiPriority w:val="99"/>
    <w:unhideWhenUsed/>
    <w:rsid w:val="00457424"/>
    <w:pPr>
      <w:tabs>
        <w:tab w:val="center" w:pos="4677"/>
        <w:tab w:val="right" w:pos="9355"/>
      </w:tabs>
    </w:pPr>
  </w:style>
  <w:style w:type="character" w:customStyle="1" w:styleId="a6">
    <w:name w:val="Нижний колонтитул Знак"/>
    <w:basedOn w:val="a0"/>
    <w:link w:val="a5"/>
    <w:uiPriority w:val="99"/>
    <w:rsid w:val="00457424"/>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5942</Words>
  <Characters>33876</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Администратор</cp:lastModifiedBy>
  <cp:revision>2</cp:revision>
  <dcterms:created xsi:type="dcterms:W3CDTF">2019-03-18T07:37:00Z</dcterms:created>
  <dcterms:modified xsi:type="dcterms:W3CDTF">2019-03-18T07:37:00Z</dcterms:modified>
</cp:coreProperties>
</file>